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F5E" w:rsidRPr="00996256" w:rsidRDefault="00093F5E" w:rsidP="00093F5E">
      <w:pPr>
        <w:pStyle w:val="a4"/>
        <w:shd w:val="clear" w:color="auto" w:fill="auto"/>
        <w:spacing w:after="244"/>
        <w:ind w:left="60" w:right="60" w:firstLine="500"/>
        <w:jc w:val="center"/>
        <w:rPr>
          <w:b/>
          <w:i/>
          <w:color w:val="FF0000"/>
          <w:sz w:val="28"/>
          <w:szCs w:val="24"/>
          <w:u w:val="single"/>
        </w:rPr>
      </w:pPr>
      <w:r w:rsidRPr="00996256">
        <w:rPr>
          <w:b/>
          <w:i/>
          <w:color w:val="FF0000"/>
          <w:sz w:val="28"/>
          <w:szCs w:val="24"/>
          <w:u w:val="single"/>
        </w:rPr>
        <w:t>Адміністративна відповідальність неповнолітніх.</w:t>
      </w:r>
    </w:p>
    <w:p w:rsidR="00093F5E" w:rsidRDefault="00093F5E" w:rsidP="00093F5E">
      <w:pPr>
        <w:pStyle w:val="a4"/>
        <w:shd w:val="clear" w:color="auto" w:fill="auto"/>
        <w:spacing w:after="244"/>
        <w:ind w:left="60" w:right="60" w:firstLine="500"/>
        <w:rPr>
          <w:sz w:val="24"/>
          <w:szCs w:val="24"/>
        </w:rPr>
      </w:pPr>
    </w:p>
    <w:p w:rsidR="00093F5E" w:rsidRPr="00760654" w:rsidRDefault="00093F5E" w:rsidP="00093F5E">
      <w:pPr>
        <w:pStyle w:val="a4"/>
        <w:shd w:val="clear" w:color="auto" w:fill="auto"/>
        <w:spacing w:after="244"/>
        <w:ind w:left="60" w:right="60" w:firstLine="500"/>
        <w:rPr>
          <w:sz w:val="24"/>
          <w:szCs w:val="24"/>
        </w:rPr>
      </w:pPr>
      <w:r w:rsidRPr="00760654">
        <w:rPr>
          <w:sz w:val="24"/>
          <w:szCs w:val="24"/>
        </w:rPr>
        <w:t xml:space="preserve">Під </w:t>
      </w:r>
      <w:r>
        <w:rPr>
          <w:sz w:val="24"/>
          <w:szCs w:val="24"/>
        </w:rPr>
        <w:t>адміністративною відповідальністю</w:t>
      </w:r>
      <w:r w:rsidRPr="00760654">
        <w:rPr>
          <w:sz w:val="24"/>
          <w:szCs w:val="24"/>
        </w:rPr>
        <w:t xml:space="preserve"> слід розуміти накладення на правопорушників загальнообов'</w:t>
      </w:r>
      <w:r>
        <w:rPr>
          <w:sz w:val="24"/>
          <w:szCs w:val="24"/>
        </w:rPr>
        <w:t>язкових правил, які дію</w:t>
      </w:r>
      <w:r w:rsidRPr="00760654">
        <w:rPr>
          <w:sz w:val="24"/>
          <w:szCs w:val="24"/>
        </w:rPr>
        <w:t xml:space="preserve"> у державному управлінні, адміністративних </w:t>
      </w:r>
      <w:r>
        <w:rPr>
          <w:sz w:val="24"/>
          <w:szCs w:val="24"/>
        </w:rPr>
        <w:t>стягнень, що зумовлюють для цих</w:t>
      </w:r>
      <w:r w:rsidRPr="00760654">
        <w:rPr>
          <w:sz w:val="24"/>
          <w:szCs w:val="24"/>
        </w:rPr>
        <w:t xml:space="preserve"> осіб обтяжливі наслідки матеріального чи морального характеру. Адміністративна відповідальність є одним з видів юридичної відповідальності. Притягнення до адміністративної відповідальності — обов'язок державних органів, які є суб'єктами виконавчої влади, їх перелік наводиться в </w:t>
      </w:r>
      <w:proofErr w:type="spellStart"/>
      <w:r w:rsidRPr="00760654">
        <w:rPr>
          <w:sz w:val="24"/>
          <w:szCs w:val="24"/>
        </w:rPr>
        <w:t>розд</w:t>
      </w:r>
      <w:proofErr w:type="spellEnd"/>
      <w:r w:rsidRPr="00760654">
        <w:rPr>
          <w:sz w:val="24"/>
          <w:szCs w:val="24"/>
        </w:rPr>
        <w:t>. III Кодексу про адміністративні правопорушення України.</w:t>
      </w:r>
    </w:p>
    <w:p w:rsidR="00093F5E" w:rsidRPr="00760654" w:rsidRDefault="00093F5E" w:rsidP="00093F5E">
      <w:pPr>
        <w:pStyle w:val="a4"/>
        <w:shd w:val="clear" w:color="auto" w:fill="auto"/>
        <w:spacing w:after="0" w:line="269" w:lineRule="exact"/>
        <w:ind w:left="60" w:right="60" w:firstLine="500"/>
        <w:rPr>
          <w:sz w:val="24"/>
          <w:szCs w:val="24"/>
        </w:rPr>
      </w:pPr>
      <w:r w:rsidRPr="00760654">
        <w:rPr>
          <w:sz w:val="24"/>
          <w:szCs w:val="24"/>
        </w:rPr>
        <w:t xml:space="preserve">До осіб віком від шістнадцяти до вісімнадцяти років, які вчинили адміністративні правопорушення, застосовуються або заходи впливу, передбачені ст. 24-1 </w:t>
      </w:r>
      <w:proofErr w:type="spellStart"/>
      <w:r w:rsidRPr="00760654">
        <w:rPr>
          <w:sz w:val="24"/>
          <w:szCs w:val="24"/>
        </w:rPr>
        <w:t>КУпАп</w:t>
      </w:r>
      <w:proofErr w:type="spellEnd"/>
      <w:r w:rsidRPr="00760654">
        <w:rPr>
          <w:sz w:val="24"/>
          <w:szCs w:val="24"/>
        </w:rPr>
        <w:t>, або неповнолітні підлягають відповідальності на загальних підставах, в залежності від вчиненого адміністративного правопорушення.</w:t>
      </w:r>
    </w:p>
    <w:p w:rsidR="00093F5E" w:rsidRPr="00760654" w:rsidRDefault="00093F5E" w:rsidP="00093F5E">
      <w:pPr>
        <w:pStyle w:val="a4"/>
        <w:shd w:val="clear" w:color="auto" w:fill="auto"/>
        <w:spacing w:after="0"/>
        <w:ind w:left="60" w:right="60" w:firstLine="500"/>
        <w:rPr>
          <w:sz w:val="24"/>
          <w:szCs w:val="24"/>
        </w:rPr>
      </w:pPr>
      <w:r w:rsidRPr="00760654">
        <w:rPr>
          <w:sz w:val="24"/>
          <w:szCs w:val="24"/>
        </w:rPr>
        <w:t>Пояснюється це тим, що неповнолітні загалом не мають стійкої психіки, достатнього життєвого досвіду, навичок правочинної поведінки, не завжди усвідомлюють шкоду від заподіяного, легко піддаються впливу інших осіб, особливо старших за віком, що часто стають організаторами або підбурювачами правопорушень, ураховується також, що неповнолітні легко піддаються виховному впливу і можуть виправитись без застосування до них жорстких заходів адміністративного стягнення.</w:t>
      </w:r>
    </w:p>
    <w:p w:rsidR="00093F5E" w:rsidRPr="00760654" w:rsidRDefault="00093F5E" w:rsidP="00093F5E">
      <w:pPr>
        <w:pStyle w:val="a4"/>
        <w:shd w:val="clear" w:color="auto" w:fill="auto"/>
        <w:spacing w:after="0"/>
        <w:ind w:left="60" w:right="60" w:firstLine="500"/>
        <w:rPr>
          <w:sz w:val="24"/>
          <w:szCs w:val="24"/>
        </w:rPr>
      </w:pPr>
      <w:r w:rsidRPr="00760654">
        <w:rPr>
          <w:sz w:val="24"/>
          <w:szCs w:val="24"/>
        </w:rPr>
        <w:t xml:space="preserve">За вчинення адміністративних правопорушень до неповнолітніх у віці від шістнадцяти до вісімнадцяти років 16-18 років можуть бути застосовані такі заходи впливу, передбачені ст. 24-1 </w:t>
      </w:r>
      <w:proofErr w:type="spellStart"/>
      <w:r w:rsidRPr="00760654">
        <w:rPr>
          <w:sz w:val="24"/>
          <w:szCs w:val="24"/>
        </w:rPr>
        <w:t>КУпАП</w:t>
      </w:r>
      <w:proofErr w:type="spellEnd"/>
      <w:r w:rsidRPr="00760654">
        <w:rPr>
          <w:sz w:val="24"/>
          <w:szCs w:val="24"/>
        </w:rPr>
        <w:t>, а саме:</w:t>
      </w:r>
    </w:p>
    <w:p w:rsidR="00093F5E" w:rsidRPr="00760654" w:rsidRDefault="00093F5E" w:rsidP="00093F5E">
      <w:pPr>
        <w:pStyle w:val="a4"/>
        <w:numPr>
          <w:ilvl w:val="0"/>
          <w:numId w:val="1"/>
        </w:numPr>
        <w:shd w:val="clear" w:color="auto" w:fill="auto"/>
        <w:tabs>
          <w:tab w:val="left" w:pos="194"/>
        </w:tabs>
        <w:spacing w:after="0"/>
        <w:ind w:left="60"/>
        <w:rPr>
          <w:sz w:val="24"/>
          <w:szCs w:val="24"/>
        </w:rPr>
      </w:pPr>
      <w:r w:rsidRPr="00760654">
        <w:rPr>
          <w:sz w:val="24"/>
          <w:szCs w:val="24"/>
        </w:rPr>
        <w:t>зобов'язання публічно або в іншій формі попросити вибачення у потерпілого;</w:t>
      </w:r>
    </w:p>
    <w:p w:rsidR="00093F5E" w:rsidRPr="00760654" w:rsidRDefault="00093F5E" w:rsidP="00093F5E">
      <w:pPr>
        <w:pStyle w:val="a4"/>
        <w:numPr>
          <w:ilvl w:val="0"/>
          <w:numId w:val="1"/>
        </w:numPr>
        <w:shd w:val="clear" w:color="auto" w:fill="auto"/>
        <w:tabs>
          <w:tab w:val="left" w:pos="194"/>
        </w:tabs>
        <w:spacing w:after="0"/>
        <w:ind w:left="60"/>
        <w:rPr>
          <w:sz w:val="24"/>
          <w:szCs w:val="24"/>
        </w:rPr>
      </w:pPr>
      <w:r w:rsidRPr="00760654">
        <w:rPr>
          <w:sz w:val="24"/>
          <w:szCs w:val="24"/>
        </w:rPr>
        <w:t>попередження;</w:t>
      </w:r>
    </w:p>
    <w:p w:rsidR="00093F5E" w:rsidRPr="00760654" w:rsidRDefault="00093F5E" w:rsidP="00093F5E">
      <w:pPr>
        <w:pStyle w:val="a4"/>
        <w:numPr>
          <w:ilvl w:val="0"/>
          <w:numId w:val="1"/>
        </w:numPr>
        <w:shd w:val="clear" w:color="auto" w:fill="auto"/>
        <w:tabs>
          <w:tab w:val="left" w:pos="190"/>
        </w:tabs>
        <w:spacing w:after="0"/>
        <w:ind w:left="60"/>
        <w:rPr>
          <w:sz w:val="24"/>
          <w:szCs w:val="24"/>
        </w:rPr>
      </w:pPr>
      <w:r w:rsidRPr="00760654">
        <w:rPr>
          <w:sz w:val="24"/>
          <w:szCs w:val="24"/>
        </w:rPr>
        <w:t>догана або сувора догана;</w:t>
      </w:r>
    </w:p>
    <w:p w:rsidR="00093F5E" w:rsidRPr="00760654" w:rsidRDefault="00093F5E" w:rsidP="00093F5E">
      <w:pPr>
        <w:pStyle w:val="a4"/>
        <w:numPr>
          <w:ilvl w:val="0"/>
          <w:numId w:val="1"/>
        </w:numPr>
        <w:shd w:val="clear" w:color="auto" w:fill="auto"/>
        <w:tabs>
          <w:tab w:val="left" w:pos="218"/>
        </w:tabs>
        <w:spacing w:after="0"/>
        <w:ind w:left="60" w:right="60"/>
        <w:rPr>
          <w:sz w:val="24"/>
          <w:szCs w:val="24"/>
        </w:rPr>
      </w:pPr>
      <w:r w:rsidRPr="00760654">
        <w:rPr>
          <w:sz w:val="24"/>
          <w:szCs w:val="24"/>
        </w:rPr>
        <w:t>передача неповнолітнього під нагляд батькам або особам, які їх замінюють, чи під нагляд педагогічному або трудовому колективу за їх згодою, а також окремим громадянам на їх прохання.</w:t>
      </w:r>
    </w:p>
    <w:p w:rsidR="00093F5E" w:rsidRPr="00760654" w:rsidRDefault="00093F5E" w:rsidP="00093F5E">
      <w:pPr>
        <w:pStyle w:val="a4"/>
        <w:shd w:val="clear" w:color="auto" w:fill="auto"/>
        <w:spacing w:after="0"/>
        <w:ind w:left="60" w:right="60" w:firstLine="500"/>
        <w:rPr>
          <w:sz w:val="24"/>
          <w:szCs w:val="24"/>
        </w:rPr>
      </w:pPr>
      <w:r w:rsidRPr="00760654">
        <w:rPr>
          <w:sz w:val="24"/>
          <w:szCs w:val="24"/>
        </w:rPr>
        <w:t>Заходи впливу мають виховний характер і можуть бути застосовані до неповнолітніх, які вчинили адміністративний проступок у віці 16-18 років, якщо орган адміністративної юрисдикції дійде висновку, що виправлення правопорушника можливе без застосування до нього суворішого адміністративного стягнення. У сукупності ці заходи утворюють систему, що складена з урахуванням збільшення тяжкості примусових заходів — від менш суворих до більш суворих.</w:t>
      </w:r>
    </w:p>
    <w:p w:rsidR="00093F5E" w:rsidRPr="00760654" w:rsidRDefault="00093F5E" w:rsidP="00093F5E">
      <w:pPr>
        <w:pStyle w:val="a4"/>
        <w:shd w:val="clear" w:color="auto" w:fill="auto"/>
        <w:spacing w:after="0"/>
        <w:ind w:left="60" w:right="60" w:firstLine="500"/>
        <w:rPr>
          <w:sz w:val="24"/>
          <w:szCs w:val="24"/>
        </w:rPr>
      </w:pPr>
      <w:r w:rsidRPr="00760654">
        <w:rPr>
          <w:sz w:val="24"/>
          <w:szCs w:val="24"/>
        </w:rPr>
        <w:t>Найменш суворим заходом є зобов'язання публічно або в іншій формі вибачитись перед потерпілим. Цей захід орган адміністративної юрисдикції застосовує тоді, коли він дійшов висновку, що неповнолітній визнав неправомірність своєї поведінки, суспільну шкоду скоєного діяння і покаявся в ньому. Публічність вибачення при цьому полягає у здійсненні його не тет-а-тет (тобто неповнолітній і потерпілий), а у присутності інших осіб.</w:t>
      </w:r>
    </w:p>
    <w:p w:rsidR="00093F5E" w:rsidRPr="00760654" w:rsidRDefault="00093F5E" w:rsidP="00093F5E">
      <w:pPr>
        <w:pStyle w:val="a4"/>
        <w:shd w:val="clear" w:color="auto" w:fill="auto"/>
        <w:spacing w:after="0"/>
        <w:ind w:left="60" w:right="60" w:firstLine="500"/>
        <w:rPr>
          <w:sz w:val="24"/>
          <w:szCs w:val="24"/>
        </w:rPr>
      </w:pPr>
      <w:r w:rsidRPr="00760654">
        <w:rPr>
          <w:sz w:val="24"/>
          <w:szCs w:val="24"/>
        </w:rPr>
        <w:t>Питання про форму публічного вибачення вирішує орган адміністративної юрисдикції з урахуванням усіх обставин справи і побажань потерпілого.</w:t>
      </w:r>
    </w:p>
    <w:p w:rsidR="00093F5E" w:rsidRPr="00760654" w:rsidRDefault="00093F5E" w:rsidP="00093F5E">
      <w:pPr>
        <w:pStyle w:val="a4"/>
        <w:shd w:val="clear" w:color="auto" w:fill="auto"/>
        <w:spacing w:after="0"/>
        <w:ind w:left="60" w:right="60" w:firstLine="500"/>
        <w:rPr>
          <w:sz w:val="24"/>
          <w:szCs w:val="24"/>
        </w:rPr>
      </w:pPr>
      <w:r w:rsidRPr="00760654">
        <w:rPr>
          <w:sz w:val="24"/>
          <w:szCs w:val="24"/>
        </w:rPr>
        <w:t>Попередження — суворіший захід виховного впливу, що полягає в усному оголошенні органом адміністративної юрисдикції офіційного від імені держави осудження неповнолітнього правопорушника і його поведінки, яка виявилась у скоєнні ад</w:t>
      </w:r>
      <w:r w:rsidRPr="00760654">
        <w:rPr>
          <w:sz w:val="24"/>
          <w:szCs w:val="24"/>
        </w:rPr>
        <w:softHyphen/>
        <w:t>міністративного проступку, що не становить значної суспільної небезпеки.</w:t>
      </w:r>
    </w:p>
    <w:p w:rsidR="00093F5E" w:rsidRPr="00760654" w:rsidRDefault="00093F5E" w:rsidP="00093F5E">
      <w:pPr>
        <w:pStyle w:val="a4"/>
        <w:shd w:val="clear" w:color="auto" w:fill="auto"/>
        <w:spacing w:after="0"/>
        <w:ind w:left="60" w:right="60" w:firstLine="500"/>
        <w:rPr>
          <w:sz w:val="24"/>
          <w:szCs w:val="24"/>
        </w:rPr>
      </w:pPr>
      <w:r w:rsidRPr="00760654">
        <w:rPr>
          <w:sz w:val="24"/>
          <w:szCs w:val="24"/>
        </w:rPr>
        <w:t xml:space="preserve">Догана або сувора догана є заходами морально-психологічного впливу, які застосовуються до неповнолітніх правопорушників у разі систематичного невиконання ними встановлених правил поведінки і скоєння правопорушень, що свідчать про формування </w:t>
      </w:r>
      <w:proofErr w:type="spellStart"/>
      <w:r w:rsidRPr="00760654">
        <w:rPr>
          <w:sz w:val="24"/>
          <w:szCs w:val="24"/>
        </w:rPr>
        <w:t>антисуспільної</w:t>
      </w:r>
      <w:proofErr w:type="spellEnd"/>
      <w:r w:rsidRPr="00760654">
        <w:rPr>
          <w:sz w:val="24"/>
          <w:szCs w:val="24"/>
        </w:rPr>
        <w:t xml:space="preserve"> установки. Догана або сувора догана є суворішими заходами стягнення, ніж попередження неповнолітнього. Вони супроводжуються офіційним від імені держави суворим засудженням неповнолітнього правопорушника і вчиненого ним діяння.</w:t>
      </w:r>
    </w:p>
    <w:p w:rsidR="00093F5E" w:rsidRPr="00760654" w:rsidRDefault="00093F5E" w:rsidP="00093F5E">
      <w:pPr>
        <w:pStyle w:val="a4"/>
        <w:shd w:val="clear" w:color="auto" w:fill="auto"/>
        <w:spacing w:after="0"/>
        <w:ind w:right="20" w:firstLine="540"/>
        <w:rPr>
          <w:sz w:val="24"/>
          <w:szCs w:val="24"/>
        </w:rPr>
      </w:pPr>
      <w:r w:rsidRPr="00760654">
        <w:rPr>
          <w:sz w:val="24"/>
          <w:szCs w:val="24"/>
        </w:rPr>
        <w:lastRenderedPageBreak/>
        <w:t>Передання неповнолітнього під нагляд батькам або особам, що їх замінюють, складається з накладення на вказаних осіб органом адміністративної юрисдикції зобов'язання з посилення виховного впливу на неповнолітнього правопорушника: здійснення культурно-виховних заходів; роз'яснювальної роботи; систематичного контролю поведінки неповнолітнього та ін. Під особами, що замінюють батьків, розуміються усиновителі, опікуни і піклувальники.</w:t>
      </w:r>
    </w:p>
    <w:p w:rsidR="00093F5E" w:rsidRPr="00760654" w:rsidRDefault="00093F5E" w:rsidP="00093F5E">
      <w:pPr>
        <w:pStyle w:val="a4"/>
        <w:shd w:val="clear" w:color="auto" w:fill="auto"/>
        <w:spacing w:after="0"/>
        <w:ind w:right="20" w:firstLine="540"/>
        <w:rPr>
          <w:sz w:val="24"/>
          <w:szCs w:val="24"/>
        </w:rPr>
      </w:pPr>
      <w:r w:rsidRPr="00760654">
        <w:rPr>
          <w:sz w:val="24"/>
          <w:szCs w:val="24"/>
        </w:rPr>
        <w:t>Передавати неповнолітнього правопорушника під нагляд батькам або особам, що їх замінюють, доцільно лише в разі їх згоди і здатності забезпечувати нагляд і відповідний виховний вплив на неповнолітнього. Бажання і згода останнього при цьому не вра</w:t>
      </w:r>
      <w:r w:rsidRPr="00760654">
        <w:rPr>
          <w:sz w:val="24"/>
          <w:szCs w:val="24"/>
        </w:rPr>
        <w:softHyphen/>
        <w:t>ховуються.</w:t>
      </w:r>
    </w:p>
    <w:p w:rsidR="00093F5E" w:rsidRPr="00760654" w:rsidRDefault="00093F5E" w:rsidP="00093F5E">
      <w:pPr>
        <w:pStyle w:val="a4"/>
        <w:shd w:val="clear" w:color="auto" w:fill="auto"/>
        <w:spacing w:after="0"/>
        <w:ind w:right="20" w:firstLine="540"/>
        <w:rPr>
          <w:sz w:val="24"/>
          <w:szCs w:val="24"/>
        </w:rPr>
      </w:pPr>
      <w:r w:rsidRPr="00760654">
        <w:rPr>
          <w:sz w:val="24"/>
          <w:szCs w:val="24"/>
        </w:rPr>
        <w:t>Передання неповнолітнього правопорушника під нагляд педагогічному або трудовому колективу означає накладення органом адміністративної юрисдикції на відповідний колектив з його (колективу) згоди зобов'язання здійснювати на неповнолітнього виховний вплив і контролювати його поведінку. По суті, це довіра педагогічному або трудовому колективу неповнолітнього, якого вони знають за спільною роботою або навчанням і за поведінку якого беруть на себе зобов'язання. Таким колективом може бути, наприклад, педагогічний колектив школи, де навчається неповнолітній, або трудовий колектив підприємства, де він працює. При цьому орган адміністративної юрисдикції, який розглядає справу про правопорушення неповнолітнього, повинен бути впевнений у можливостях позитивного впливу такого колективу на неповнолітнього правопорушника, що передається під нагляд колективу.</w:t>
      </w:r>
    </w:p>
    <w:p w:rsidR="00093F5E" w:rsidRDefault="00093F5E" w:rsidP="00093F5E">
      <w:pPr>
        <w:pStyle w:val="a4"/>
        <w:shd w:val="clear" w:color="auto" w:fill="auto"/>
        <w:spacing w:after="0"/>
        <w:ind w:right="20" w:firstLine="540"/>
        <w:rPr>
          <w:sz w:val="24"/>
          <w:szCs w:val="24"/>
        </w:rPr>
      </w:pPr>
      <w:r w:rsidRPr="00760654">
        <w:rPr>
          <w:sz w:val="24"/>
          <w:szCs w:val="24"/>
        </w:rPr>
        <w:t>Передання неповнолітнього правопорушника під нагляд окремим громадянам складається з покладення на них обов'язків з виховання піднаглядного і контролю за його поведінкою. Цей захід накладається тільки за згодою громадян, яким передається неповнолітній і які добре зарекомендували себе на педагогічній роботі або в іншій сфері суспільно - корисної діяльності.</w:t>
      </w:r>
      <w:bookmarkStart w:id="0" w:name="bookmark1"/>
    </w:p>
    <w:p w:rsidR="00996256" w:rsidRDefault="00996256" w:rsidP="00093F5E">
      <w:pPr>
        <w:pStyle w:val="a4"/>
        <w:shd w:val="clear" w:color="auto" w:fill="auto"/>
        <w:spacing w:after="0"/>
        <w:ind w:right="20"/>
        <w:jc w:val="right"/>
        <w:rPr>
          <w:b/>
          <w:sz w:val="24"/>
          <w:szCs w:val="24"/>
        </w:rPr>
      </w:pPr>
    </w:p>
    <w:p w:rsidR="00093F5E" w:rsidRPr="00996256" w:rsidRDefault="00093F5E" w:rsidP="00093F5E">
      <w:pPr>
        <w:pStyle w:val="a4"/>
        <w:shd w:val="clear" w:color="auto" w:fill="auto"/>
        <w:spacing w:after="0"/>
        <w:ind w:right="20"/>
        <w:jc w:val="right"/>
        <w:rPr>
          <w:b/>
          <w:i/>
          <w:color w:val="00B050"/>
          <w:sz w:val="24"/>
          <w:szCs w:val="24"/>
        </w:rPr>
      </w:pPr>
      <w:r w:rsidRPr="00996256">
        <w:rPr>
          <w:b/>
          <w:i/>
          <w:color w:val="00B050"/>
          <w:sz w:val="24"/>
          <w:szCs w:val="24"/>
        </w:rPr>
        <w:t xml:space="preserve">Головний спеціаліст </w:t>
      </w:r>
      <w:proofErr w:type="spellStart"/>
      <w:r w:rsidRPr="00996256">
        <w:rPr>
          <w:b/>
          <w:i/>
          <w:color w:val="00B050"/>
          <w:sz w:val="24"/>
          <w:szCs w:val="24"/>
        </w:rPr>
        <w:t>Рокитнівського</w:t>
      </w:r>
      <w:bookmarkEnd w:id="0"/>
      <w:proofErr w:type="spellEnd"/>
    </w:p>
    <w:p w:rsidR="00093F5E" w:rsidRPr="00996256" w:rsidRDefault="00093F5E" w:rsidP="00093F5E">
      <w:pPr>
        <w:pStyle w:val="20"/>
        <w:keepNext/>
        <w:keepLines/>
        <w:shd w:val="clear" w:color="auto" w:fill="auto"/>
        <w:tabs>
          <w:tab w:val="left" w:pos="7930"/>
        </w:tabs>
        <w:spacing w:before="0" w:after="0" w:line="230" w:lineRule="exact"/>
        <w:jc w:val="right"/>
        <w:rPr>
          <w:b/>
          <w:i/>
          <w:color w:val="00B050"/>
          <w:sz w:val="24"/>
          <w:szCs w:val="24"/>
        </w:rPr>
      </w:pPr>
      <w:bookmarkStart w:id="1" w:name="bookmark2"/>
      <w:r w:rsidRPr="00996256">
        <w:rPr>
          <w:b/>
          <w:i/>
          <w:color w:val="00B050"/>
          <w:sz w:val="24"/>
          <w:szCs w:val="24"/>
        </w:rPr>
        <w:t>районного управління юстиції.</w:t>
      </w:r>
    </w:p>
    <w:p w:rsidR="00093F5E" w:rsidRPr="00996256" w:rsidRDefault="00093F5E" w:rsidP="00093F5E">
      <w:pPr>
        <w:pStyle w:val="20"/>
        <w:keepNext/>
        <w:keepLines/>
        <w:shd w:val="clear" w:color="auto" w:fill="auto"/>
        <w:tabs>
          <w:tab w:val="left" w:pos="7930"/>
        </w:tabs>
        <w:spacing w:before="0" w:after="0" w:line="230" w:lineRule="exact"/>
        <w:jc w:val="right"/>
        <w:rPr>
          <w:b/>
          <w:i/>
          <w:color w:val="00B050"/>
          <w:sz w:val="24"/>
          <w:szCs w:val="24"/>
        </w:rPr>
      </w:pPr>
      <w:r w:rsidRPr="00996256">
        <w:rPr>
          <w:b/>
          <w:i/>
          <w:color w:val="00B050"/>
          <w:sz w:val="24"/>
          <w:szCs w:val="24"/>
        </w:rPr>
        <w:tab/>
      </w:r>
      <w:bookmarkStart w:id="2" w:name="_GoBack"/>
      <w:bookmarkEnd w:id="2"/>
      <w:r w:rsidRPr="00996256">
        <w:rPr>
          <w:b/>
          <w:i/>
          <w:color w:val="00B050"/>
          <w:sz w:val="24"/>
          <w:szCs w:val="24"/>
        </w:rPr>
        <w:t xml:space="preserve">Л.М. </w:t>
      </w:r>
      <w:proofErr w:type="spellStart"/>
      <w:r w:rsidRPr="00996256">
        <w:rPr>
          <w:b/>
          <w:i/>
          <w:color w:val="00B050"/>
          <w:sz w:val="24"/>
          <w:szCs w:val="24"/>
        </w:rPr>
        <w:t>Пахнюк</w:t>
      </w:r>
      <w:bookmarkEnd w:id="1"/>
      <w:proofErr w:type="spellEnd"/>
    </w:p>
    <w:p w:rsidR="00093F5E" w:rsidRPr="00760654" w:rsidRDefault="00093F5E" w:rsidP="00093F5E">
      <w:pPr>
        <w:framePr w:wrap="notBeside" w:vAnchor="text" w:hAnchor="text" w:xAlign="center" w:y="1"/>
        <w:jc w:val="both"/>
      </w:pPr>
    </w:p>
    <w:p w:rsidR="00093F5E" w:rsidRPr="00760654" w:rsidRDefault="00093F5E" w:rsidP="00093F5E">
      <w:pPr>
        <w:jc w:val="both"/>
      </w:pPr>
    </w:p>
    <w:p w:rsidR="00093F5E" w:rsidRDefault="00093F5E" w:rsidP="00093F5E"/>
    <w:p w:rsidR="00093F5E" w:rsidRPr="002B3969" w:rsidRDefault="00093F5E">
      <w:pPr>
        <w:rPr>
          <w:lang w:val="uk-UA"/>
        </w:rPr>
      </w:pPr>
    </w:p>
    <w:sectPr w:rsidR="00093F5E" w:rsidRPr="002B39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70370"/>
    <w:multiLevelType w:val="multilevel"/>
    <w:tmpl w:val="01D0F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69"/>
    <w:rsid w:val="00093F5E"/>
    <w:rsid w:val="002B3969"/>
    <w:rsid w:val="0030019B"/>
    <w:rsid w:val="005C16A8"/>
    <w:rsid w:val="005F22FA"/>
    <w:rsid w:val="00654C80"/>
    <w:rsid w:val="00996256"/>
    <w:rsid w:val="00A12B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6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rsid w:val="00093F5E"/>
    <w:rPr>
      <w:rFonts w:ascii="Times New Roman" w:eastAsia="Times New Roman" w:hAnsi="Times New Roman" w:cs="Times New Roman"/>
      <w:sz w:val="23"/>
      <w:szCs w:val="23"/>
      <w:shd w:val="clear" w:color="auto" w:fill="FFFFFF"/>
    </w:rPr>
  </w:style>
  <w:style w:type="character" w:customStyle="1" w:styleId="2">
    <w:name w:val="Заголовок №2_"/>
    <w:basedOn w:val="a0"/>
    <w:link w:val="20"/>
    <w:rsid w:val="00093F5E"/>
    <w:rPr>
      <w:rFonts w:ascii="Times New Roman" w:eastAsia="Times New Roman" w:hAnsi="Times New Roman" w:cs="Times New Roman"/>
      <w:sz w:val="23"/>
      <w:szCs w:val="23"/>
      <w:shd w:val="clear" w:color="auto" w:fill="FFFFFF"/>
    </w:rPr>
  </w:style>
  <w:style w:type="paragraph" w:customStyle="1" w:styleId="a4">
    <w:name w:val="Основний текст"/>
    <w:basedOn w:val="a"/>
    <w:link w:val="a3"/>
    <w:rsid w:val="00093F5E"/>
    <w:pPr>
      <w:shd w:val="clear" w:color="auto" w:fill="FFFFFF"/>
      <w:spacing w:after="240" w:line="274" w:lineRule="exact"/>
      <w:jc w:val="both"/>
    </w:pPr>
    <w:rPr>
      <w:sz w:val="23"/>
      <w:szCs w:val="23"/>
      <w:lang w:val="uk-UA" w:eastAsia="en-US"/>
    </w:rPr>
  </w:style>
  <w:style w:type="paragraph" w:customStyle="1" w:styleId="20">
    <w:name w:val="Заголовок №2"/>
    <w:basedOn w:val="a"/>
    <w:link w:val="2"/>
    <w:rsid w:val="00093F5E"/>
    <w:pPr>
      <w:shd w:val="clear" w:color="auto" w:fill="FFFFFF"/>
      <w:spacing w:before="1020" w:after="60" w:line="0" w:lineRule="atLeast"/>
      <w:outlineLvl w:val="1"/>
    </w:pPr>
    <w:rPr>
      <w:sz w:val="23"/>
      <w:szCs w:val="23"/>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6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rsid w:val="00093F5E"/>
    <w:rPr>
      <w:rFonts w:ascii="Times New Roman" w:eastAsia="Times New Roman" w:hAnsi="Times New Roman" w:cs="Times New Roman"/>
      <w:sz w:val="23"/>
      <w:szCs w:val="23"/>
      <w:shd w:val="clear" w:color="auto" w:fill="FFFFFF"/>
    </w:rPr>
  </w:style>
  <w:style w:type="character" w:customStyle="1" w:styleId="2">
    <w:name w:val="Заголовок №2_"/>
    <w:basedOn w:val="a0"/>
    <w:link w:val="20"/>
    <w:rsid w:val="00093F5E"/>
    <w:rPr>
      <w:rFonts w:ascii="Times New Roman" w:eastAsia="Times New Roman" w:hAnsi="Times New Roman" w:cs="Times New Roman"/>
      <w:sz w:val="23"/>
      <w:szCs w:val="23"/>
      <w:shd w:val="clear" w:color="auto" w:fill="FFFFFF"/>
    </w:rPr>
  </w:style>
  <w:style w:type="paragraph" w:customStyle="1" w:styleId="a4">
    <w:name w:val="Основний текст"/>
    <w:basedOn w:val="a"/>
    <w:link w:val="a3"/>
    <w:rsid w:val="00093F5E"/>
    <w:pPr>
      <w:shd w:val="clear" w:color="auto" w:fill="FFFFFF"/>
      <w:spacing w:after="240" w:line="274" w:lineRule="exact"/>
      <w:jc w:val="both"/>
    </w:pPr>
    <w:rPr>
      <w:sz w:val="23"/>
      <w:szCs w:val="23"/>
      <w:lang w:val="uk-UA" w:eastAsia="en-US"/>
    </w:rPr>
  </w:style>
  <w:style w:type="paragraph" w:customStyle="1" w:styleId="20">
    <w:name w:val="Заголовок №2"/>
    <w:basedOn w:val="a"/>
    <w:link w:val="2"/>
    <w:rsid w:val="00093F5E"/>
    <w:pPr>
      <w:shd w:val="clear" w:color="auto" w:fill="FFFFFF"/>
      <w:spacing w:before="1020" w:after="60" w:line="0" w:lineRule="atLeast"/>
      <w:outlineLvl w:val="1"/>
    </w:pPr>
    <w:rPr>
      <w:sz w:val="23"/>
      <w:szCs w:val="23"/>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ЦРБ</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Лісовець О.М.</dc:creator>
  <cp:keywords/>
  <dc:description/>
  <cp:lastModifiedBy>Соколов Іван</cp:lastModifiedBy>
  <cp:revision>6</cp:revision>
  <dcterms:created xsi:type="dcterms:W3CDTF">2012-12-06T08:05:00Z</dcterms:created>
  <dcterms:modified xsi:type="dcterms:W3CDTF">2012-12-07T14:11:00Z</dcterms:modified>
</cp:coreProperties>
</file>